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3" w:rsidRPr="00596A2E" w:rsidRDefault="004828E3" w:rsidP="004828E3">
      <w:pPr>
        <w:spacing w:after="160" w:line="259" w:lineRule="auto"/>
        <w:jc w:val="center"/>
        <w:outlineLvl w:val="0"/>
        <w:rPr>
          <w:rFonts w:eastAsia="Times New Roman" w:cs="Times New Roman"/>
          <w:b/>
        </w:rPr>
      </w:pPr>
      <w:r w:rsidRPr="00596A2E">
        <w:rPr>
          <w:rFonts w:eastAsia="Times New Roman" w:cs="Times New Roman"/>
          <w:b/>
        </w:rPr>
        <w:t>Аннотация рабочей программы дисциплины</w:t>
      </w:r>
    </w:p>
    <w:p w:rsidR="004828E3" w:rsidRPr="00596A2E" w:rsidRDefault="004828E3" w:rsidP="004828E3">
      <w:pPr>
        <w:jc w:val="center"/>
        <w:rPr>
          <w:rFonts w:eastAsia="Times New Roman" w:cs="Times New Roman"/>
          <w:b/>
        </w:rPr>
      </w:pPr>
      <w:bookmarkStart w:id="0" w:name="_GoBack"/>
      <w:r w:rsidRPr="00596A2E">
        <w:rPr>
          <w:rFonts w:eastAsia="Times New Roman" w:cs="Times New Roman"/>
          <w:b/>
        </w:rPr>
        <w:t xml:space="preserve">«Квалификация преступлений против здоровья населения» </w:t>
      </w:r>
      <w:bookmarkEnd w:id="0"/>
    </w:p>
    <w:p w:rsidR="004828E3" w:rsidRPr="00596A2E" w:rsidRDefault="004828E3" w:rsidP="004828E3">
      <w:pPr>
        <w:rPr>
          <w:rFonts w:eastAsia="Times New Roman" w:cs="Times New Roman"/>
        </w:rPr>
      </w:pPr>
    </w:p>
    <w:p w:rsidR="004828E3" w:rsidRPr="00596A2E" w:rsidRDefault="004828E3" w:rsidP="004828E3">
      <w:pPr>
        <w:overflowPunct w:val="0"/>
        <w:autoSpaceDE w:val="0"/>
        <w:spacing w:after="120"/>
        <w:jc w:val="center"/>
        <w:textAlignment w:val="baseline"/>
        <w:rPr>
          <w:rFonts w:eastAsia="Times New Roman" w:cs="Times New Roman"/>
          <w:b/>
        </w:rPr>
      </w:pPr>
      <w:r w:rsidRPr="00596A2E">
        <w:rPr>
          <w:rFonts w:eastAsia="Times New Roman" w:cs="Times New Roman"/>
        </w:rPr>
        <w:t xml:space="preserve">Авторы-составители: </w:t>
      </w:r>
      <w:proofErr w:type="spellStart"/>
      <w:r w:rsidRPr="00596A2E">
        <w:rPr>
          <w:rFonts w:eastAsia="Times New Roman" w:cs="Times New Roman"/>
        </w:rPr>
        <w:t>Федик</w:t>
      </w:r>
      <w:proofErr w:type="spellEnd"/>
      <w:r w:rsidRPr="00596A2E">
        <w:rPr>
          <w:rFonts w:eastAsia="Times New Roman" w:cs="Times New Roman"/>
        </w:rPr>
        <w:t xml:space="preserve"> Е.Н., </w:t>
      </w:r>
      <w:proofErr w:type="spellStart"/>
      <w:r w:rsidRPr="00596A2E">
        <w:rPr>
          <w:rFonts w:eastAsia="Times New Roman" w:cs="Times New Roman"/>
        </w:rPr>
        <w:t>Гельдибаев</w:t>
      </w:r>
      <w:proofErr w:type="spellEnd"/>
      <w:r w:rsidRPr="00596A2E">
        <w:rPr>
          <w:rFonts w:eastAsia="Times New Roman" w:cs="Times New Roman"/>
        </w:rPr>
        <w:t xml:space="preserve"> М.Х.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686"/>
      </w:tblGrid>
      <w:tr w:rsidR="004828E3" w:rsidRPr="00DB3686" w:rsidTr="006448DF">
        <w:tc>
          <w:tcPr>
            <w:tcW w:w="2660" w:type="dxa"/>
            <w:shd w:val="clear" w:color="auto" w:fill="auto"/>
          </w:tcPr>
          <w:p w:rsidR="004828E3" w:rsidRPr="00DB3686" w:rsidRDefault="004828E3" w:rsidP="006448DF">
            <w:pPr>
              <w:tabs>
                <w:tab w:val="num" w:pos="756"/>
                <w:tab w:val="num" w:pos="1440"/>
              </w:tabs>
              <w:rPr>
                <w:rFonts w:eastAsia="Times New Roman" w:cs="Times New Roman"/>
                <w:b/>
              </w:rPr>
            </w:pPr>
            <w:r w:rsidRPr="00DB3686">
              <w:rPr>
                <w:rFonts w:eastAsia="Times New Roman" w:cs="Times New Roman"/>
                <w:b/>
              </w:rPr>
              <w:t>Цель изучения дисциплины</w:t>
            </w:r>
          </w:p>
        </w:tc>
        <w:tc>
          <w:tcPr>
            <w:tcW w:w="6686" w:type="dxa"/>
            <w:shd w:val="clear" w:color="auto" w:fill="auto"/>
          </w:tcPr>
          <w:p w:rsidR="004828E3" w:rsidRPr="00DB3686" w:rsidRDefault="004828E3" w:rsidP="006448DF">
            <w:pPr>
              <w:widowControl w:val="0"/>
              <w:autoSpaceDE w:val="0"/>
              <w:autoSpaceDN w:val="0"/>
              <w:ind w:firstLine="709"/>
              <w:jc w:val="both"/>
              <w:rPr>
                <w:rFonts w:eastAsia="Times New Roman" w:cs="Times New Roman"/>
                <w:lang w:eastAsia="en-US"/>
              </w:rPr>
            </w:pPr>
            <w:r w:rsidRPr="00DB3686">
              <w:rPr>
                <w:rFonts w:eastAsia="Times New Roman" w:cs="Times New Roman"/>
                <w:lang w:eastAsia="en-US"/>
              </w:rPr>
              <w:t xml:space="preserve">Совершенствование теоретической подготовки студентов, обучающихся программе </w:t>
            </w:r>
            <w:proofErr w:type="spellStart"/>
            <w:r w:rsidRPr="00DB3686">
              <w:rPr>
                <w:rFonts w:eastAsia="Times New Roman" w:cs="Times New Roman"/>
                <w:lang w:eastAsia="en-US"/>
              </w:rPr>
              <w:t>специалитета</w:t>
            </w:r>
            <w:proofErr w:type="spellEnd"/>
            <w:r w:rsidRPr="00DB3686">
              <w:rPr>
                <w:rFonts w:eastAsia="Times New Roman" w:cs="Times New Roman"/>
                <w:lang w:eastAsia="en-US"/>
              </w:rPr>
              <w:t xml:space="preserve"> «Судебная и прокурорская деятельность»,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rsidR="004828E3" w:rsidRPr="00DB3686" w:rsidRDefault="004828E3" w:rsidP="006448DF">
            <w:pPr>
              <w:widowControl w:val="0"/>
              <w:autoSpaceDE w:val="0"/>
              <w:autoSpaceDN w:val="0"/>
              <w:ind w:firstLine="709"/>
              <w:jc w:val="both"/>
              <w:rPr>
                <w:rFonts w:eastAsia="Times New Roman" w:cs="Times New Roman"/>
                <w:lang w:eastAsia="en-US"/>
              </w:rPr>
            </w:pPr>
            <w:r w:rsidRPr="00DB3686">
              <w:rPr>
                <w:rFonts w:eastAsia="Times New Roman" w:cs="Times New Roman"/>
                <w:lang w:eastAsia="en-US"/>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p w:rsidR="004828E3" w:rsidRPr="00DB3686" w:rsidRDefault="004828E3" w:rsidP="006448DF">
            <w:pPr>
              <w:widowControl w:val="0"/>
              <w:autoSpaceDE w:val="0"/>
              <w:autoSpaceDN w:val="0"/>
              <w:ind w:firstLine="709"/>
              <w:jc w:val="both"/>
              <w:rPr>
                <w:rFonts w:eastAsia="Times New Roman" w:cs="Times New Roman"/>
                <w:lang w:eastAsia="en-US"/>
              </w:rPr>
            </w:pPr>
            <w:r w:rsidRPr="00DB3686">
              <w:rPr>
                <w:rFonts w:eastAsia="Times New Roman" w:cs="Times New Roman"/>
                <w:color w:val="000000"/>
                <w:lang w:eastAsia="en-US"/>
              </w:rPr>
              <w:t xml:space="preserve">В результате изучения данной </w:t>
            </w:r>
            <w:proofErr w:type="gramStart"/>
            <w:r w:rsidRPr="00DB3686">
              <w:rPr>
                <w:rFonts w:eastAsia="Times New Roman" w:cs="Times New Roman"/>
                <w:color w:val="000000"/>
                <w:lang w:eastAsia="en-US"/>
              </w:rPr>
              <w:t>дисциплины</w:t>
            </w:r>
            <w:proofErr w:type="gramEnd"/>
            <w:r w:rsidRPr="00DB3686">
              <w:rPr>
                <w:rFonts w:eastAsia="Times New Roman" w:cs="Times New Roman"/>
                <w:color w:val="000000"/>
                <w:lang w:eastAsia="en-US"/>
              </w:rPr>
              <w:t xml:space="preserve"> обучающиеся должны </w:t>
            </w:r>
            <w:r w:rsidRPr="00DB3686">
              <w:rPr>
                <w:rFonts w:eastAsia="Times New Roman" w:cs="Times New Roman"/>
                <w:lang w:eastAsia="en-US"/>
              </w:rPr>
              <w:t xml:space="preserve">развить способности к логическому мышлению, анализу усвоенного теоретического курса, умение оперировать обобщающими категориями, </w:t>
            </w:r>
            <w:r w:rsidRPr="00DB3686">
              <w:rPr>
                <w:rFonts w:eastAsia="Times New Roman" w:cs="Times New Roman"/>
                <w:color w:val="000000"/>
                <w:lang w:eastAsia="en-US"/>
              </w:rPr>
              <w:t xml:space="preserve">приобрести знания содержания Особенной части уголовного права </w:t>
            </w:r>
            <w:r w:rsidRPr="00DB3686">
              <w:rPr>
                <w:rFonts w:eastAsia="Times New Roman" w:cs="Times New Roman"/>
                <w:lang w:eastAsia="en-US"/>
              </w:rPr>
              <w:t>в области применения законодательства об ответственности за преступления против здоровья населения</w:t>
            </w:r>
            <w:r w:rsidRPr="00DB3686">
              <w:rPr>
                <w:rFonts w:eastAsia="Times New Roman" w:cs="Times New Roman"/>
                <w:color w:val="000000"/>
                <w:lang w:eastAsia="en-US"/>
              </w:rPr>
              <w:t xml:space="preserve">, умения и навыки по толкованию и применению данных норм уголовного законодательства,  </w:t>
            </w:r>
            <w:r w:rsidRPr="00DB3686">
              <w:rPr>
                <w:rFonts w:eastAsia="Times New Roman" w:cs="Times New Roman"/>
                <w:lang w:eastAsia="en-US"/>
              </w:rPr>
              <w:t>выработку умения применять положения уголовного закона в конкретных правоприменительных ситуациях</w:t>
            </w:r>
            <w:r w:rsidRPr="00DB3686">
              <w:rPr>
                <w:rFonts w:eastAsia="Times New Roman" w:cs="Times New Roman"/>
                <w:color w:val="000000"/>
                <w:lang w:eastAsia="en-US"/>
              </w:rPr>
              <w:t>.</w:t>
            </w:r>
          </w:p>
        </w:tc>
      </w:tr>
      <w:tr w:rsidR="004828E3" w:rsidRPr="00DB3686" w:rsidTr="006448DF">
        <w:tc>
          <w:tcPr>
            <w:tcW w:w="2660" w:type="dxa"/>
            <w:shd w:val="clear" w:color="auto" w:fill="auto"/>
          </w:tcPr>
          <w:p w:rsidR="004828E3" w:rsidRPr="00DB3686" w:rsidRDefault="004828E3" w:rsidP="006448DF">
            <w:pPr>
              <w:tabs>
                <w:tab w:val="num" w:pos="756"/>
                <w:tab w:val="num" w:pos="1440"/>
              </w:tabs>
              <w:rPr>
                <w:rFonts w:eastAsia="Times New Roman" w:cs="Times New Roman"/>
                <w:b/>
              </w:rPr>
            </w:pPr>
            <w:r w:rsidRPr="00DB3686">
              <w:rPr>
                <w:rFonts w:eastAsia="Times New Roman" w:cs="Times New Roman"/>
                <w:b/>
              </w:rPr>
              <w:t>Место дисциплины в структуре ООП</w:t>
            </w:r>
          </w:p>
        </w:tc>
        <w:tc>
          <w:tcPr>
            <w:tcW w:w="6686" w:type="dxa"/>
            <w:shd w:val="clear" w:color="auto" w:fill="auto"/>
          </w:tcPr>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Дисциплина относится к дисциплинам  по выбору студента, устанавливаемым вузом</w:t>
            </w:r>
          </w:p>
        </w:tc>
      </w:tr>
      <w:tr w:rsidR="004828E3" w:rsidRPr="00DB3686" w:rsidTr="006448DF">
        <w:tc>
          <w:tcPr>
            <w:tcW w:w="2660" w:type="dxa"/>
            <w:shd w:val="clear" w:color="auto" w:fill="auto"/>
          </w:tcPr>
          <w:p w:rsidR="004828E3" w:rsidRPr="00DB3686" w:rsidRDefault="004828E3" w:rsidP="006448DF">
            <w:pPr>
              <w:tabs>
                <w:tab w:val="num" w:pos="756"/>
                <w:tab w:val="num" w:pos="1440"/>
              </w:tabs>
              <w:rPr>
                <w:rFonts w:eastAsia="Times New Roman" w:cs="Times New Roman"/>
                <w:b/>
              </w:rPr>
            </w:pPr>
            <w:r w:rsidRPr="00DB3686">
              <w:rPr>
                <w:rFonts w:eastAsia="Times New Roman" w:cs="Times New Roman"/>
                <w:b/>
              </w:rPr>
              <w:t xml:space="preserve">Компетенции, формируемые в результате освоения дисциплины </w:t>
            </w:r>
          </w:p>
        </w:tc>
        <w:tc>
          <w:tcPr>
            <w:tcW w:w="6686" w:type="dxa"/>
            <w:shd w:val="clear" w:color="auto" w:fill="auto"/>
          </w:tcPr>
          <w:p w:rsidR="004828E3" w:rsidRPr="00DB3686" w:rsidRDefault="004828E3" w:rsidP="006448DF">
            <w:pPr>
              <w:tabs>
                <w:tab w:val="num" w:pos="756"/>
                <w:tab w:val="num" w:pos="1440"/>
              </w:tabs>
              <w:jc w:val="both"/>
              <w:rPr>
                <w:rFonts w:eastAsia="Calibri" w:cs="Times New Roman"/>
              </w:rPr>
            </w:pPr>
            <w:r w:rsidRPr="00DB3686">
              <w:rPr>
                <w:rFonts w:eastAsia="Calibri" w:cs="Times New Roman"/>
              </w:rPr>
              <w:t>ПК-1, ПК-3</w:t>
            </w:r>
          </w:p>
          <w:p w:rsidR="004828E3" w:rsidRPr="00DB3686" w:rsidRDefault="004828E3" w:rsidP="006448DF">
            <w:pPr>
              <w:tabs>
                <w:tab w:val="num" w:pos="756"/>
                <w:tab w:val="num" w:pos="1440"/>
              </w:tabs>
              <w:jc w:val="both"/>
              <w:rPr>
                <w:rFonts w:eastAsia="Calibri" w:cs="Times New Roman"/>
              </w:rPr>
            </w:pPr>
          </w:p>
          <w:p w:rsidR="004828E3" w:rsidRPr="00DB3686" w:rsidRDefault="004828E3" w:rsidP="006448DF">
            <w:pPr>
              <w:tabs>
                <w:tab w:val="num" w:pos="756"/>
                <w:tab w:val="num" w:pos="1440"/>
              </w:tabs>
              <w:jc w:val="both"/>
              <w:rPr>
                <w:rFonts w:eastAsia="Times New Roman" w:cs="Times New Roman"/>
              </w:rPr>
            </w:pPr>
          </w:p>
        </w:tc>
      </w:tr>
      <w:tr w:rsidR="004828E3" w:rsidRPr="00DB3686" w:rsidTr="006448DF">
        <w:tc>
          <w:tcPr>
            <w:tcW w:w="2660" w:type="dxa"/>
            <w:shd w:val="clear" w:color="auto" w:fill="auto"/>
          </w:tcPr>
          <w:p w:rsidR="004828E3" w:rsidRPr="00DB3686" w:rsidRDefault="004828E3" w:rsidP="006448DF">
            <w:pPr>
              <w:tabs>
                <w:tab w:val="num" w:pos="756"/>
                <w:tab w:val="num" w:pos="1440"/>
              </w:tabs>
              <w:rPr>
                <w:rFonts w:eastAsia="Times New Roman" w:cs="Times New Roman"/>
                <w:b/>
              </w:rPr>
            </w:pPr>
            <w:r w:rsidRPr="00DB3686">
              <w:rPr>
                <w:rFonts w:eastAsia="Times New Roman" w:cs="Times New Roman"/>
                <w:b/>
              </w:rPr>
              <w:t xml:space="preserve">Содержание дисциплины </w:t>
            </w:r>
          </w:p>
        </w:tc>
        <w:tc>
          <w:tcPr>
            <w:tcW w:w="6686" w:type="dxa"/>
            <w:shd w:val="clear" w:color="auto" w:fill="auto"/>
          </w:tcPr>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Тема 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 xml:space="preserve">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w:t>
            </w:r>
            <w:proofErr w:type="spellStart"/>
            <w:r w:rsidRPr="00DB3686">
              <w:rPr>
                <w:rFonts w:eastAsia="Times New Roman" w:cs="Times New Roman"/>
                <w:lang w:eastAsia="en-US"/>
              </w:rPr>
              <w:t>прекурсоров</w:t>
            </w:r>
            <w:proofErr w:type="spellEnd"/>
            <w:r w:rsidRPr="00DB3686">
              <w:rPr>
                <w:rFonts w:eastAsia="Times New Roman" w:cs="Times New Roman"/>
                <w:lang w:eastAsia="en-US"/>
              </w:rPr>
              <w:t xml:space="preserve"> наркотических средств или  психотропных веществ, а также растений либо их частей, содержащих </w:t>
            </w:r>
            <w:proofErr w:type="spellStart"/>
            <w:r w:rsidRPr="00DB3686">
              <w:rPr>
                <w:rFonts w:eastAsia="Times New Roman" w:cs="Times New Roman"/>
                <w:lang w:eastAsia="en-US"/>
              </w:rPr>
              <w:t>прекурсоры</w:t>
            </w:r>
            <w:proofErr w:type="spellEnd"/>
            <w:r w:rsidRPr="00DB3686">
              <w:rPr>
                <w:rFonts w:eastAsia="Times New Roman" w:cs="Times New Roman"/>
                <w:lang w:eastAsia="en-US"/>
              </w:rPr>
              <w:t xml:space="preserve"> наркотических средств или психотропных веществ, без цели сбыта (ст. 228</w:t>
            </w:r>
            <w:r w:rsidRPr="00DB3686">
              <w:rPr>
                <w:rFonts w:eastAsia="Times New Roman" w:cs="Times New Roman"/>
                <w:b/>
                <w:bCs/>
                <w:iCs/>
                <w:lang w:eastAsia="en-US"/>
              </w:rPr>
              <w:t xml:space="preserve">, </w:t>
            </w:r>
            <w:r w:rsidRPr="00DB3686">
              <w:rPr>
                <w:rFonts w:eastAsia="Times New Roman" w:cs="Times New Roman"/>
                <w:lang w:eastAsia="en-US"/>
              </w:rPr>
              <w:t xml:space="preserve">228-3 УК РФ).  </w:t>
            </w:r>
          </w:p>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 xml:space="preserve">Тема 3. </w:t>
            </w:r>
            <w:proofErr w:type="gramStart"/>
            <w:r w:rsidRPr="00DB3686">
              <w:rPr>
                <w:rFonts w:eastAsia="Times New Roman" w:cs="Times New Roman"/>
                <w:lang w:eastAsia="en-US"/>
              </w:rPr>
              <w:t xml:space="preserve">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w:t>
            </w:r>
            <w:proofErr w:type="spellStart"/>
            <w:r w:rsidRPr="00DB3686">
              <w:rPr>
                <w:rFonts w:eastAsia="Times New Roman" w:cs="Times New Roman"/>
                <w:lang w:eastAsia="en-US"/>
              </w:rPr>
              <w:t>прекурсоров</w:t>
            </w:r>
            <w:proofErr w:type="spellEnd"/>
            <w:r w:rsidRPr="00DB3686">
              <w:rPr>
                <w:rFonts w:eastAsia="Times New Roman" w:cs="Times New Roman"/>
                <w:lang w:eastAsia="en-US"/>
              </w:rPr>
              <w:t xml:space="preserve"> наркотических средств, психотропных веществ, а также растений либо их частей, содержащих </w:t>
            </w:r>
            <w:proofErr w:type="spellStart"/>
            <w:r w:rsidRPr="00DB3686">
              <w:rPr>
                <w:rFonts w:eastAsia="Times New Roman" w:cs="Times New Roman"/>
                <w:lang w:eastAsia="en-US"/>
              </w:rPr>
              <w:t>прекурсоры</w:t>
            </w:r>
            <w:proofErr w:type="spellEnd"/>
            <w:r w:rsidRPr="00DB3686">
              <w:rPr>
                <w:rFonts w:eastAsia="Times New Roman" w:cs="Times New Roman"/>
                <w:lang w:eastAsia="en-US"/>
              </w:rPr>
              <w:t xml:space="preserve"> наркотических средств или психотропных веществ (ст.228-1, </w:t>
            </w:r>
            <w:r w:rsidRPr="00DB3686">
              <w:rPr>
                <w:rFonts w:eastAsia="Times New Roman" w:cs="Times New Roman"/>
                <w:lang w:eastAsia="en-US"/>
              </w:rPr>
              <w:lastRenderedPageBreak/>
              <w:t>228-4  УК РФ)</w:t>
            </w:r>
            <w:proofErr w:type="gramEnd"/>
          </w:p>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 xml:space="preserve">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w:t>
            </w:r>
            <w:proofErr w:type="spellStart"/>
            <w:r w:rsidRPr="00DB3686">
              <w:rPr>
                <w:rFonts w:eastAsia="Times New Roman" w:cs="Times New Roman"/>
                <w:lang w:eastAsia="en-US"/>
              </w:rPr>
              <w:t>прекурсоров</w:t>
            </w:r>
            <w:proofErr w:type="spellEnd"/>
            <w:r w:rsidRPr="00DB3686">
              <w:rPr>
                <w:rFonts w:eastAsia="Times New Roman" w:cs="Times New Roman"/>
                <w:lang w:eastAsia="en-US"/>
              </w:rPr>
              <w:t xml:space="preserve"> или аналогов, растений или их частей, содержащих наркотические средства, психотропные вещества или их </w:t>
            </w:r>
            <w:proofErr w:type="spellStart"/>
            <w:r w:rsidRPr="00DB3686">
              <w:rPr>
                <w:rFonts w:eastAsia="Times New Roman" w:cs="Times New Roman"/>
                <w:lang w:eastAsia="en-US"/>
              </w:rPr>
              <w:t>прекурсоры</w:t>
            </w:r>
            <w:proofErr w:type="spellEnd"/>
            <w:r w:rsidRPr="00DB3686">
              <w:rPr>
                <w:rFonts w:eastAsia="Times New Roman" w:cs="Times New Roman"/>
                <w:lang w:eastAsia="en-US"/>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 xml:space="preserve">Тема 5. Незаконное культивирование растений, содержащих наркотические вещества или психотропные вещества либо их </w:t>
            </w:r>
            <w:proofErr w:type="spellStart"/>
            <w:r w:rsidRPr="00DB3686">
              <w:rPr>
                <w:rFonts w:eastAsia="Times New Roman" w:cs="Times New Roman"/>
                <w:lang w:eastAsia="en-US"/>
              </w:rPr>
              <w:t>прекурсоры</w:t>
            </w:r>
            <w:proofErr w:type="spellEnd"/>
            <w:r w:rsidRPr="00DB3686">
              <w:rPr>
                <w:rFonts w:eastAsia="Times New Roman" w:cs="Times New Roman"/>
                <w:lang w:eastAsia="en-US"/>
              </w:rPr>
              <w:t xml:space="preserve">.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w:t>
            </w:r>
            <w:r w:rsidRPr="00DB3686">
              <w:rPr>
                <w:rFonts w:eastAsia="Times New Roman" w:cs="Times New Roman"/>
                <w:color w:val="000000"/>
                <w:lang w:eastAsia="en-US"/>
              </w:rPr>
              <w:t xml:space="preserve">Незаконный оборот новых потенциально опасных </w:t>
            </w:r>
            <w:proofErr w:type="spellStart"/>
            <w:r w:rsidRPr="00DB3686">
              <w:rPr>
                <w:rFonts w:eastAsia="Times New Roman" w:cs="Times New Roman"/>
                <w:color w:val="000000"/>
                <w:lang w:eastAsia="en-US"/>
              </w:rPr>
              <w:t>психоактивных</w:t>
            </w:r>
            <w:proofErr w:type="spellEnd"/>
            <w:r w:rsidRPr="00DB3686">
              <w:rPr>
                <w:rFonts w:eastAsia="Times New Roman" w:cs="Times New Roman"/>
                <w:color w:val="000000"/>
                <w:lang w:eastAsia="en-US"/>
              </w:rPr>
              <w:t xml:space="preserve"> веществ</w:t>
            </w:r>
            <w:r w:rsidRPr="00DB3686">
              <w:rPr>
                <w:rFonts w:eastAsia="Times New Roman" w:cs="Times New Roman"/>
                <w:lang w:eastAsia="en-US"/>
              </w:rPr>
              <w:t xml:space="preserve"> (ст. 231-234-1 УК РФ).</w:t>
            </w:r>
          </w:p>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 xml:space="preserve">Тема 6. Преступления против здоровья населения, не связанные с незаконным оборотом </w:t>
            </w:r>
            <w:proofErr w:type="spellStart"/>
            <w:r w:rsidRPr="00DB3686">
              <w:rPr>
                <w:rFonts w:eastAsia="Times New Roman" w:cs="Times New Roman"/>
                <w:lang w:eastAsia="en-US"/>
              </w:rPr>
              <w:t>психоактивных</w:t>
            </w:r>
            <w:proofErr w:type="spellEnd"/>
            <w:r w:rsidRPr="00DB3686">
              <w:rPr>
                <w:rFonts w:eastAsia="Times New Roman" w:cs="Times New Roman"/>
                <w:lang w:eastAsia="en-US"/>
              </w:rPr>
              <w:t xml:space="preserve"> </w:t>
            </w:r>
            <w:proofErr w:type="spellStart"/>
            <w:r w:rsidRPr="00DB3686">
              <w:rPr>
                <w:rFonts w:eastAsia="Times New Roman" w:cs="Times New Roman"/>
                <w:lang w:eastAsia="en-US"/>
              </w:rPr>
              <w:t>вещес</w:t>
            </w:r>
            <w:proofErr w:type="gramStart"/>
            <w:r w:rsidRPr="00DB3686">
              <w:rPr>
                <w:rFonts w:eastAsia="Times New Roman" w:cs="Times New Roman"/>
                <w:lang w:eastAsia="en-US"/>
              </w:rPr>
              <w:t>т</w:t>
            </w:r>
            <w:proofErr w:type="spellEnd"/>
            <w:r w:rsidRPr="00DB3686">
              <w:rPr>
                <w:rFonts w:eastAsia="Times New Roman" w:cs="Times New Roman"/>
                <w:lang w:eastAsia="en-US"/>
              </w:rPr>
              <w:t>(</w:t>
            </w:r>
            <w:proofErr w:type="gramEnd"/>
            <w:r w:rsidRPr="00DB3686">
              <w:rPr>
                <w:rFonts w:eastAsia="Times New Roman" w:cs="Times New Roman"/>
                <w:lang w:eastAsia="en-US"/>
              </w:rPr>
              <w:t xml:space="preserve"> ст. 235-239 УК РФ)</w:t>
            </w:r>
          </w:p>
        </w:tc>
      </w:tr>
      <w:tr w:rsidR="004828E3" w:rsidRPr="00DB3686" w:rsidTr="006448DF">
        <w:tc>
          <w:tcPr>
            <w:tcW w:w="2660" w:type="dxa"/>
            <w:shd w:val="clear" w:color="auto" w:fill="auto"/>
          </w:tcPr>
          <w:p w:rsidR="004828E3" w:rsidRPr="00DB3686" w:rsidRDefault="004828E3" w:rsidP="006448DF">
            <w:pPr>
              <w:widowControl w:val="0"/>
              <w:autoSpaceDE w:val="0"/>
              <w:autoSpaceDN w:val="0"/>
              <w:rPr>
                <w:rFonts w:eastAsia="Times New Roman" w:cs="Times New Roman"/>
                <w:b/>
                <w:sz w:val="22"/>
                <w:szCs w:val="22"/>
                <w:lang w:eastAsia="en-US"/>
              </w:rPr>
            </w:pPr>
            <w:r w:rsidRPr="00DB3686">
              <w:rPr>
                <w:rFonts w:eastAsia="Times New Roman" w:cs="Times New Roman"/>
                <w:b/>
                <w:sz w:val="22"/>
                <w:szCs w:val="22"/>
                <w:lang w:eastAsia="en-US"/>
              </w:rPr>
              <w:lastRenderedPageBreak/>
              <w:t xml:space="preserve">Общая трудоемкость дисциплины </w:t>
            </w:r>
          </w:p>
        </w:tc>
        <w:tc>
          <w:tcPr>
            <w:tcW w:w="6686" w:type="dxa"/>
            <w:shd w:val="clear" w:color="auto" w:fill="auto"/>
          </w:tcPr>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i/>
                <w:lang w:eastAsia="en-US"/>
              </w:rPr>
              <w:t xml:space="preserve">Общая трудоёмкость дисциплины составляет 2 </w:t>
            </w:r>
            <w:proofErr w:type="gramStart"/>
            <w:r w:rsidRPr="00DB3686">
              <w:rPr>
                <w:rFonts w:eastAsia="Times New Roman" w:cs="Times New Roman"/>
                <w:i/>
                <w:lang w:eastAsia="en-US"/>
              </w:rPr>
              <w:t>зачётных</w:t>
            </w:r>
            <w:proofErr w:type="gramEnd"/>
            <w:r w:rsidRPr="00DB3686">
              <w:rPr>
                <w:rFonts w:eastAsia="Times New Roman" w:cs="Times New Roman"/>
                <w:i/>
                <w:lang w:eastAsia="en-US"/>
              </w:rPr>
              <w:t xml:space="preserve"> единицы, 72 часа.</w:t>
            </w:r>
          </w:p>
        </w:tc>
      </w:tr>
      <w:tr w:rsidR="004828E3" w:rsidRPr="00DB3686" w:rsidTr="006448DF">
        <w:tc>
          <w:tcPr>
            <w:tcW w:w="2660" w:type="dxa"/>
            <w:shd w:val="clear" w:color="auto" w:fill="auto"/>
          </w:tcPr>
          <w:p w:rsidR="004828E3" w:rsidRPr="00DB3686" w:rsidRDefault="004828E3" w:rsidP="006448DF">
            <w:pPr>
              <w:widowControl w:val="0"/>
              <w:autoSpaceDE w:val="0"/>
              <w:autoSpaceDN w:val="0"/>
              <w:rPr>
                <w:rFonts w:eastAsia="Times New Roman" w:cs="Times New Roman"/>
                <w:b/>
                <w:sz w:val="22"/>
                <w:szCs w:val="22"/>
                <w:lang w:eastAsia="en-US"/>
              </w:rPr>
            </w:pPr>
            <w:r w:rsidRPr="00DB3686">
              <w:rPr>
                <w:rFonts w:eastAsia="Times New Roman" w:cs="Times New Roman"/>
                <w:b/>
                <w:sz w:val="22"/>
                <w:szCs w:val="22"/>
                <w:lang w:eastAsia="en-US"/>
              </w:rPr>
              <w:t>Форма промежуточной аттестации</w:t>
            </w:r>
          </w:p>
        </w:tc>
        <w:tc>
          <w:tcPr>
            <w:tcW w:w="6686" w:type="dxa"/>
            <w:shd w:val="clear" w:color="auto" w:fill="auto"/>
          </w:tcPr>
          <w:p w:rsidR="004828E3" w:rsidRPr="00DB3686" w:rsidRDefault="004828E3" w:rsidP="006448DF">
            <w:pPr>
              <w:widowControl w:val="0"/>
              <w:autoSpaceDE w:val="0"/>
              <w:autoSpaceDN w:val="0"/>
              <w:jc w:val="both"/>
              <w:rPr>
                <w:rFonts w:eastAsia="Times New Roman" w:cs="Times New Roman"/>
                <w:lang w:eastAsia="en-US"/>
              </w:rPr>
            </w:pPr>
            <w:r w:rsidRPr="00DB3686">
              <w:rPr>
                <w:rFonts w:eastAsia="Times New Roman" w:cs="Times New Roman"/>
                <w:lang w:eastAsia="en-US"/>
              </w:rPr>
              <w:t>Зачет</w:t>
            </w:r>
          </w:p>
        </w:tc>
      </w:tr>
    </w:tbl>
    <w:p w:rsidR="00BF4C07" w:rsidRDefault="00BF4C07"/>
    <w:sectPr w:rsidR="00BF4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E3"/>
    <w:rsid w:val="004828E3"/>
    <w:rsid w:val="00BF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E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E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СЗФ-РГУП</dc:creator>
  <cp:lastModifiedBy>СЗФ-РГУП</cp:lastModifiedBy>
  <cp:revision>1</cp:revision>
  <dcterms:created xsi:type="dcterms:W3CDTF">2024-03-13T10:22:00Z</dcterms:created>
  <dcterms:modified xsi:type="dcterms:W3CDTF">2024-03-13T10:23:00Z</dcterms:modified>
</cp:coreProperties>
</file>